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pPr>
      <w:bookmarkStart w:colFirst="0" w:colLast="0" w:name="_heading=h.qaqm5vx3todg" w:id="0"/>
      <w:bookmarkEnd w:id="0"/>
      <w:r w:rsidDel="00000000" w:rsidR="00000000" w:rsidRPr="00000000">
        <w:rPr>
          <w:rtl w:val="0"/>
        </w:rPr>
        <w:t xml:space="preserve">HUMAN RIGHTS COMMITMENT </w:t>
      </w:r>
    </w:p>
    <w:p w:rsidR="00000000" w:rsidDel="00000000" w:rsidP="00000000" w:rsidRDefault="00000000" w:rsidRPr="00000000" w14:paraId="00000002">
      <w:pPr>
        <w:spacing w:after="0" w:before="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the right to equal treatment under the prohibited grounds and all aspects of employment as established by the Saskatchewan Human Rights Code.</w:t>
      </w:r>
    </w:p>
    <w:p w:rsidR="00000000" w:rsidDel="00000000" w:rsidP="00000000" w:rsidRDefault="00000000" w:rsidRPr="00000000" w14:paraId="00000004">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PROHIBITED GROUNDS</w:t>
      </w:r>
    </w:p>
    <w:p w:rsidR="00000000" w:rsidDel="00000000" w:rsidP="00000000" w:rsidRDefault="00000000" w:rsidRPr="00000000" w14:paraId="0000000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Religion;</w:t>
      </w:r>
    </w:p>
    <w:p w:rsidR="00000000" w:rsidDel="00000000" w:rsidP="00000000" w:rsidRDefault="00000000" w:rsidRPr="00000000" w14:paraId="00000008">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Creed;</w:t>
      </w:r>
    </w:p>
    <w:p w:rsidR="00000000" w:rsidDel="00000000" w:rsidP="00000000" w:rsidRDefault="00000000" w:rsidRPr="00000000" w14:paraId="00000009">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Marital status;</w:t>
      </w:r>
    </w:p>
    <w:p w:rsidR="00000000" w:rsidDel="00000000" w:rsidP="00000000" w:rsidRDefault="00000000" w:rsidRPr="00000000" w14:paraId="0000000A">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Family status;</w:t>
      </w:r>
    </w:p>
    <w:p w:rsidR="00000000" w:rsidDel="00000000" w:rsidP="00000000" w:rsidRDefault="00000000" w:rsidRPr="00000000" w14:paraId="0000000B">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Sex;</w:t>
      </w:r>
    </w:p>
    <w:p w:rsidR="00000000" w:rsidDel="00000000" w:rsidP="00000000" w:rsidRDefault="00000000" w:rsidRPr="00000000" w14:paraId="0000000C">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0D">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Disability;</w:t>
      </w:r>
    </w:p>
    <w:p w:rsidR="00000000" w:rsidDel="00000000" w:rsidP="00000000" w:rsidRDefault="00000000" w:rsidRPr="00000000" w14:paraId="0000000E">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F">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Colour;</w:t>
      </w:r>
    </w:p>
    <w:p w:rsidR="00000000" w:rsidDel="00000000" w:rsidP="00000000" w:rsidRDefault="00000000" w:rsidRPr="00000000" w14:paraId="00000010">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Ancestry;</w:t>
      </w:r>
    </w:p>
    <w:p w:rsidR="00000000" w:rsidDel="00000000" w:rsidP="00000000" w:rsidRDefault="00000000" w:rsidRPr="00000000" w14:paraId="00000011">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Nationality;</w:t>
      </w:r>
    </w:p>
    <w:p w:rsidR="00000000" w:rsidDel="00000000" w:rsidP="00000000" w:rsidRDefault="00000000" w:rsidRPr="00000000" w14:paraId="00000012">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Place of origin;</w:t>
      </w:r>
    </w:p>
    <w:p w:rsidR="00000000" w:rsidDel="00000000" w:rsidP="00000000" w:rsidRDefault="00000000" w:rsidRPr="00000000" w14:paraId="00000013">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Race or perceived race;</w:t>
      </w:r>
    </w:p>
    <w:p w:rsidR="00000000" w:rsidDel="00000000" w:rsidP="00000000" w:rsidRDefault="00000000" w:rsidRPr="00000000" w14:paraId="00000014">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Receipt of public assistance; and</w:t>
      </w:r>
    </w:p>
    <w:p w:rsidR="00000000" w:rsidDel="00000000" w:rsidP="00000000" w:rsidRDefault="00000000" w:rsidRPr="00000000" w14:paraId="00000015">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Gender identity.</w:t>
      </w:r>
    </w:p>
    <w:p w:rsidR="00000000" w:rsidDel="00000000" w:rsidP="00000000" w:rsidRDefault="00000000" w:rsidRPr="00000000" w14:paraId="0000001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7">
      <w:pPr>
        <w:ind w:right="261"/>
        <w:rPr>
          <w:rFonts w:ascii="Calibri" w:cs="Calibri" w:eastAsia="Calibri" w:hAnsi="Calibri"/>
        </w:rPr>
      </w:pPr>
      <w:r w:rsidDel="00000000" w:rsidR="00000000" w:rsidRPr="00000000">
        <w:rPr>
          <w:rFonts w:ascii="Calibri" w:cs="Calibri" w:eastAsia="Calibri" w:hAnsi="Calibri"/>
          <w:rtl w:val="0"/>
        </w:rPr>
        <w:t xml:space="preserve">“Undue hardship” means intolerable financial cost or disruption to business, having regard to the effect on:</w:t>
      </w:r>
    </w:p>
    <w:p w:rsidR="00000000" w:rsidDel="00000000" w:rsidP="00000000" w:rsidRDefault="00000000" w:rsidRPr="00000000" w14:paraId="00000018">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financial stability and profitability of the business undertaking;</w:t>
      </w:r>
    </w:p>
    <w:p w:rsidR="00000000" w:rsidDel="00000000" w:rsidP="00000000" w:rsidRDefault="00000000" w:rsidRPr="00000000" w14:paraId="0000001A">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value of existing amenities, structures and premises as compared to the cost of providing proper amenities or physical access;</w:t>
      </w:r>
    </w:p>
    <w:p w:rsidR="00000000" w:rsidDel="00000000" w:rsidP="00000000" w:rsidRDefault="00000000" w:rsidRPr="00000000" w14:paraId="0000001B">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essence or purpose of the business undertaking; and</w:t>
      </w:r>
    </w:p>
    <w:p w:rsidR="00000000" w:rsidDel="00000000" w:rsidP="00000000" w:rsidRDefault="00000000" w:rsidRPr="00000000" w14:paraId="0000001C">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employees, customers or clients of the business undertaking, disregarding personal preferences;</w:t>
      </w:r>
    </w:p>
    <w:p w:rsidR="00000000" w:rsidDel="00000000" w:rsidP="00000000" w:rsidRDefault="00000000" w:rsidRPr="00000000" w14:paraId="0000001D">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E">
      <w:pPr>
        <w:ind w:right="261"/>
        <w:rPr>
          <w:rFonts w:ascii="Calibri" w:cs="Calibri" w:eastAsia="Calibri" w:hAnsi="Calibri"/>
        </w:rPr>
      </w:pPr>
      <w:r w:rsidDel="00000000" w:rsidR="00000000" w:rsidRPr="00000000">
        <w:rPr>
          <w:rFonts w:ascii="Calibri" w:cs="Calibri" w:eastAsia="Calibri" w:hAnsi="Calibri"/>
          <w:rtl w:val="0"/>
        </w:rPr>
        <w:t xml:space="preserve">but does not include the cost or business inconvenience of providing washroom facilities, living quarters or other facilities for persons with physical disabilities if those facilities must be provided by law for persons of both sexes.</w:t>
      </w:r>
    </w:p>
    <w:p w:rsidR="00000000" w:rsidDel="00000000" w:rsidP="00000000" w:rsidRDefault="00000000" w:rsidRPr="00000000" w14:paraId="0000001F">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0">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1">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2">
      <w:pPr>
        <w:ind w:right="261"/>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prohibited grounds outlined above.  </w:t>
      </w:r>
    </w:p>
    <w:p w:rsidR="00000000" w:rsidDel="00000000" w:rsidP="00000000" w:rsidRDefault="00000000" w:rsidRPr="00000000" w14:paraId="00000023">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4">
      <w:pPr>
        <w:ind w:right="261"/>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25">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Wages/Benefits</w:t>
      </w:r>
    </w:p>
    <w:p w:rsidR="00000000" w:rsidDel="00000000" w:rsidP="00000000" w:rsidRDefault="00000000" w:rsidRPr="00000000" w14:paraId="00000027">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28">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Day-to-day Operations</w:t>
      </w:r>
    </w:p>
    <w:p w:rsidR="00000000" w:rsidDel="00000000" w:rsidP="00000000" w:rsidRDefault="00000000" w:rsidRPr="00000000" w14:paraId="00000029">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2A">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Firing </w:t>
      </w:r>
    </w:p>
    <w:p w:rsidR="00000000" w:rsidDel="00000000" w:rsidP="00000000" w:rsidRDefault="00000000" w:rsidRPr="00000000" w14:paraId="0000002B">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Recruitment</w:t>
      </w:r>
    </w:p>
    <w:p w:rsidR="00000000" w:rsidDel="00000000" w:rsidP="00000000" w:rsidRDefault="00000000" w:rsidRPr="00000000" w14:paraId="0000002C">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Application Forms</w:t>
      </w:r>
    </w:p>
    <w:p w:rsidR="00000000" w:rsidDel="00000000" w:rsidP="00000000" w:rsidRDefault="00000000" w:rsidRPr="00000000" w14:paraId="0000002D">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2E">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ind w:right="261"/>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w:t>
      </w:r>
    </w:p>
    <w:p w:rsidR="00000000" w:rsidDel="00000000" w:rsidP="00000000" w:rsidRDefault="00000000" w:rsidRPr="00000000" w14:paraId="00000030">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32">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ind w:right="261"/>
        <w:rPr>
          <w:rFonts w:ascii="Calibri" w:cs="Calibri" w:eastAsia="Calibri" w:hAnsi="Calibri"/>
        </w:rPr>
      </w:pPr>
      <w:r w:rsidDel="00000000" w:rsidR="00000000" w:rsidRPr="00000000">
        <w:rPr>
          <w:rFonts w:ascii="Calibri" w:cs="Calibri" w:eastAsia="Calibri" w:hAnsi="Calibri"/>
          <w:rtl w:val="0"/>
        </w:rPr>
        <w:t xml:space="preserve">[Organization Name] has a duty to accommodate employees to eliminate negative treatment based on the prohibited grounds of discrimination. [Organization Name] will accommodate to the point of undue hardship.</w:t>
      </w:r>
    </w:p>
    <w:p w:rsidR="00000000" w:rsidDel="00000000" w:rsidP="00000000" w:rsidRDefault="00000000" w:rsidRPr="00000000" w14:paraId="00000034">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36">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ind w:right="261"/>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by mail, telephone, or email with the Saskatchewan Human Rights Commission. Filing may be done within the last 12 months of the alleged incident.  [Organization Name] will not retaliate against any employee who has filed a complaint with the Commission or had someone file a complaint on their behalf. </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B">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lQY+OeMSmBI8oEIuWQCPXehsg==">CgMxLjAyDmgucWFxbTV2eDN0b2RnOAByITFXSGpWLVR0YnE3T0lsaDhJSVozd2NweGIzZzk2d010UA==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